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EF" w:rsidRPr="000C1124" w:rsidRDefault="00A21DEF" w:rsidP="000C1124">
      <w:pPr>
        <w:jc w:val="center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0C1124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Boletim para implementação: Embalagem estendida </w:t>
      </w:r>
      <w:r w:rsidR="00815991" w:rsidRPr="000C1124">
        <w:rPr>
          <w:rFonts w:ascii="Arial" w:hAnsi="Arial" w:cs="Arial"/>
          <w:b/>
          <w:color w:val="595959" w:themeColor="text1" w:themeTint="A6"/>
          <w:sz w:val="28"/>
          <w:szCs w:val="28"/>
        </w:rPr>
        <w:t>voltada ao consumidor final (</w:t>
      </w:r>
      <w:r w:rsidRPr="000C1124">
        <w:rPr>
          <w:rFonts w:ascii="Arial" w:hAnsi="Arial" w:cs="Arial"/>
          <w:b/>
          <w:color w:val="595959" w:themeColor="text1" w:themeTint="A6"/>
          <w:sz w:val="28"/>
          <w:szCs w:val="28"/>
        </w:rPr>
        <w:t>B2C</w:t>
      </w:r>
      <w:r w:rsidR="00815991" w:rsidRPr="000C1124">
        <w:rPr>
          <w:rFonts w:ascii="Arial" w:hAnsi="Arial" w:cs="Arial"/>
          <w:b/>
          <w:color w:val="595959" w:themeColor="text1" w:themeTint="A6"/>
          <w:sz w:val="28"/>
          <w:szCs w:val="28"/>
        </w:rPr>
        <w:t>)</w:t>
      </w:r>
    </w:p>
    <w:p w:rsidR="000C1124" w:rsidRPr="000C1124" w:rsidRDefault="000C1124" w:rsidP="00EC0AD2">
      <w:pPr>
        <w:pStyle w:val="big"/>
        <w:ind w:left="0"/>
        <w:jc w:val="both"/>
        <w:rPr>
          <w:rFonts w:ascii="Arial" w:hAnsi="Arial" w:cs="Arial"/>
          <w:bCs/>
          <w:color w:val="595959" w:themeColor="text1" w:themeTint="A6"/>
        </w:rPr>
      </w:pPr>
    </w:p>
    <w:p w:rsidR="00017556" w:rsidRPr="000C1124" w:rsidRDefault="00017556" w:rsidP="00EC0AD2">
      <w:pPr>
        <w:pStyle w:val="big"/>
        <w:ind w:left="0"/>
        <w:jc w:val="both"/>
        <w:rPr>
          <w:rFonts w:ascii="Arial" w:hAnsi="Arial" w:cs="Arial"/>
          <w:bCs/>
          <w:color w:val="595959" w:themeColor="text1" w:themeTint="A6"/>
        </w:rPr>
      </w:pPr>
      <w:r w:rsidRPr="000C1124">
        <w:rPr>
          <w:rFonts w:ascii="Arial" w:hAnsi="Arial" w:cs="Arial"/>
          <w:bCs/>
          <w:color w:val="595959" w:themeColor="text1" w:themeTint="A6"/>
        </w:rPr>
        <w:t xml:space="preserve">A seguir será fornecido para a indústria, um resumo técnico para a implementação do novo padrão GS1 que abrange o Padrão de Aplicação AIDC para Embalagens estendidas </w:t>
      </w:r>
      <w:r w:rsidR="009E73FF" w:rsidRPr="000C1124">
        <w:rPr>
          <w:rFonts w:ascii="Arial" w:hAnsi="Arial" w:cs="Arial"/>
          <w:bCs/>
          <w:color w:val="595959" w:themeColor="text1" w:themeTint="A6"/>
        </w:rPr>
        <w:t>voltadas ao consumidor final (</w:t>
      </w:r>
      <w:r w:rsidRPr="000C1124">
        <w:rPr>
          <w:rFonts w:ascii="Arial" w:hAnsi="Arial" w:cs="Arial"/>
          <w:bCs/>
          <w:color w:val="595959" w:themeColor="text1" w:themeTint="A6"/>
        </w:rPr>
        <w:t>B2C</w:t>
      </w:r>
      <w:r w:rsidR="009E73FF" w:rsidRPr="000C1124">
        <w:rPr>
          <w:rFonts w:ascii="Arial" w:hAnsi="Arial" w:cs="Arial"/>
          <w:bCs/>
          <w:color w:val="595959" w:themeColor="text1" w:themeTint="A6"/>
        </w:rPr>
        <w:t>)</w:t>
      </w:r>
      <w:r w:rsidRPr="000C1124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0C1124" w:rsidRPr="000C1124" w:rsidRDefault="000C1124" w:rsidP="00EC0AD2">
      <w:pPr>
        <w:pStyle w:val="big"/>
        <w:ind w:left="0"/>
        <w:jc w:val="both"/>
        <w:rPr>
          <w:rFonts w:ascii="Arial" w:hAnsi="Arial" w:cs="Arial"/>
          <w:bCs/>
          <w:color w:val="595959" w:themeColor="text1" w:themeTint="A6"/>
        </w:rPr>
      </w:pPr>
    </w:p>
    <w:p w:rsidR="00017556" w:rsidRPr="000C1124" w:rsidRDefault="00017556" w:rsidP="00017556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</w:p>
    <w:tbl>
      <w:tblPr>
        <w:tblStyle w:val="Tabelacomgrade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828"/>
        <w:gridCol w:w="2826"/>
        <w:gridCol w:w="2841"/>
      </w:tblGrid>
      <w:tr w:rsidR="000C1124" w:rsidRPr="000C1124" w:rsidTr="000C1124">
        <w:tc>
          <w:tcPr>
            <w:tcW w:w="2828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26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Código de barra linear (1D)</w:t>
            </w:r>
          </w:p>
        </w:tc>
        <w:tc>
          <w:tcPr>
            <w:tcW w:w="2841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Código bidimensionais (2D)</w:t>
            </w:r>
          </w:p>
        </w:tc>
      </w:tr>
      <w:tr w:rsidR="000C1124" w:rsidRPr="000C1124" w:rsidTr="000C1124">
        <w:tc>
          <w:tcPr>
            <w:tcW w:w="2828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Identificação</w:t>
            </w: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>¹Observe abaixo</w:t>
            </w:r>
          </w:p>
        </w:tc>
        <w:tc>
          <w:tcPr>
            <w:tcW w:w="2826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>GTIN (modo indireto)</w:t>
            </w:r>
          </w:p>
        </w:tc>
        <w:tc>
          <w:tcPr>
            <w:tcW w:w="2841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>GTIN (modo indireto)</w:t>
            </w:r>
          </w:p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>GTIN e URL do produto (modo direto)</w:t>
            </w:r>
          </w:p>
        </w:tc>
      </w:tr>
      <w:tr w:rsidR="000C1124" w:rsidRPr="000C1124" w:rsidTr="000C1124">
        <w:tc>
          <w:tcPr>
            <w:tcW w:w="2828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Carregador de dados</w:t>
            </w: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>²Observe abaixo</w:t>
            </w: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826" w:type="dxa"/>
          </w:tcPr>
          <w:p w:rsidR="00017556" w:rsidRPr="000C1124" w:rsidRDefault="00017556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Itens comerciais para o consumidor</w:t>
            </w:r>
            <w:r w:rsidR="00F54935" w:rsidRPr="000C1124">
              <w:rPr>
                <w:rFonts w:ascii="Arial" w:hAnsi="Arial" w:cs="Arial"/>
                <w:b/>
                <w:color w:val="595959" w:themeColor="text1" w:themeTint="A6"/>
              </w:rPr>
              <w:t xml:space="preserve">: </w:t>
            </w:r>
          </w:p>
          <w:p w:rsidR="00F54935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F54935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Varejo geral</w:t>
            </w:r>
          </w:p>
          <w:p w:rsidR="00853BD4" w:rsidRPr="000C1124" w:rsidRDefault="00853BD4" w:rsidP="00853BD4">
            <w:pPr>
              <w:pStyle w:val="Default"/>
              <w:rPr>
                <w:color w:val="595959" w:themeColor="text1" w:themeTint="A6"/>
              </w:rPr>
            </w:pP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 xml:space="preserve">EAN/UPC ou GS1 </w:t>
            </w:r>
            <w:proofErr w:type="spellStart"/>
            <w:r w:rsidRPr="000C1124">
              <w:rPr>
                <w:rFonts w:ascii="Arial" w:hAnsi="Arial" w:cs="Arial"/>
                <w:color w:val="595959" w:themeColor="text1" w:themeTint="A6"/>
              </w:rPr>
              <w:t>DataBar</w:t>
            </w:r>
            <w:proofErr w:type="spellEnd"/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Regulamentação do setor da saúde</w:t>
            </w: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F54935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 xml:space="preserve">EAN/UPC, GS1 </w:t>
            </w:r>
            <w:proofErr w:type="spellStart"/>
            <w:r w:rsidRPr="000C1124">
              <w:rPr>
                <w:rFonts w:ascii="Arial" w:hAnsi="Arial" w:cs="Arial"/>
                <w:color w:val="595959" w:themeColor="text1" w:themeTint="A6"/>
              </w:rPr>
              <w:t>DataBar</w:t>
            </w:r>
            <w:proofErr w:type="spellEnd"/>
            <w:r w:rsidRPr="000C1124">
              <w:rPr>
                <w:rFonts w:ascii="Arial" w:hAnsi="Arial" w:cs="Arial"/>
                <w:color w:val="595959" w:themeColor="text1" w:themeTint="A6"/>
              </w:rPr>
              <w:t>, GS1-128 ou ITF-14</w:t>
            </w:r>
          </w:p>
        </w:tc>
        <w:tc>
          <w:tcPr>
            <w:tcW w:w="2841" w:type="dxa"/>
          </w:tcPr>
          <w:p w:rsidR="00017556" w:rsidRPr="000C1124" w:rsidRDefault="00F54935" w:rsidP="00017556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Itens comerciais para o consumidor:</w:t>
            </w: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853BD4" w:rsidRPr="000C1124" w:rsidRDefault="00853BD4" w:rsidP="00853BD4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color w:val="595959" w:themeColor="text1" w:themeTint="A6"/>
              </w:rPr>
              <w:t>Varejo geral</w:t>
            </w: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 xml:space="preserve">GS1 QR </w:t>
            </w:r>
            <w:proofErr w:type="spellStart"/>
            <w:proofErr w:type="gramStart"/>
            <w:r w:rsidRPr="000C1124">
              <w:rPr>
                <w:rFonts w:ascii="Arial" w:hAnsi="Arial" w:cs="Arial"/>
                <w:color w:val="595959" w:themeColor="text1" w:themeTint="A6"/>
              </w:rPr>
              <w:t>Code</w:t>
            </w:r>
            <w:proofErr w:type="spellEnd"/>
            <w:r w:rsidRPr="000C1124">
              <w:rPr>
                <w:rFonts w:ascii="Arial" w:hAnsi="Arial" w:cs="Arial"/>
                <w:color w:val="595959" w:themeColor="text1" w:themeTint="A6"/>
              </w:rPr>
              <w:t xml:space="preserve">  ou</w:t>
            </w:r>
            <w:proofErr w:type="gramEnd"/>
            <w:r w:rsidRPr="000C1124">
              <w:rPr>
                <w:rFonts w:ascii="Arial" w:hAnsi="Arial" w:cs="Arial"/>
                <w:color w:val="595959" w:themeColor="text1" w:themeTint="A6"/>
              </w:rPr>
              <w:t xml:space="preserve"> GS1 </w:t>
            </w:r>
            <w:proofErr w:type="spellStart"/>
            <w:r w:rsidRPr="000C1124">
              <w:rPr>
                <w:rFonts w:ascii="Arial" w:hAnsi="Arial" w:cs="Arial"/>
                <w:color w:val="595959" w:themeColor="text1" w:themeTint="A6"/>
              </w:rPr>
              <w:t>DataMatrix</w:t>
            </w:r>
            <w:proofErr w:type="spellEnd"/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853BD4" w:rsidRPr="000C1124" w:rsidRDefault="00853BD4" w:rsidP="00853BD4">
            <w:pPr>
              <w:pStyle w:val="big"/>
              <w:ind w:left="0"/>
              <w:jc w:val="both"/>
              <w:rPr>
                <w:rFonts w:ascii="Arial" w:hAnsi="Arial" w:cs="Arial"/>
                <w:b/>
                <w:color w:val="595959" w:themeColor="text1" w:themeTint="A6"/>
                <w:lang w:val="en-US"/>
              </w:rPr>
            </w:pPr>
            <w:proofErr w:type="spellStart"/>
            <w:r w:rsidRPr="000C112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Regulamentação</w:t>
            </w:r>
            <w:proofErr w:type="spellEnd"/>
            <w:r w:rsidRPr="000C112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 do </w:t>
            </w:r>
            <w:proofErr w:type="spellStart"/>
            <w:r w:rsidRPr="000C112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setor</w:t>
            </w:r>
            <w:proofErr w:type="spellEnd"/>
            <w:r w:rsidRPr="000C112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 da </w:t>
            </w:r>
            <w:proofErr w:type="spellStart"/>
            <w:r w:rsidRPr="000C112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saúde</w:t>
            </w:r>
            <w:proofErr w:type="spellEnd"/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853BD4" w:rsidRPr="000C1124" w:rsidRDefault="00853BD4" w:rsidP="00017556">
            <w:pPr>
              <w:pStyle w:val="big"/>
              <w:ind w:left="0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color w:val="595959" w:themeColor="text1" w:themeTint="A6"/>
              </w:rPr>
              <w:t xml:space="preserve">GS1 </w:t>
            </w:r>
            <w:proofErr w:type="spellStart"/>
            <w:r w:rsidRPr="000C1124">
              <w:rPr>
                <w:rFonts w:ascii="Arial" w:hAnsi="Arial" w:cs="Arial"/>
                <w:color w:val="595959" w:themeColor="text1" w:themeTint="A6"/>
              </w:rPr>
              <w:t>DataMatrix</w:t>
            </w:r>
            <w:proofErr w:type="spellEnd"/>
          </w:p>
        </w:tc>
      </w:tr>
    </w:tbl>
    <w:p w:rsidR="00017556" w:rsidRPr="000C1124" w:rsidRDefault="00017556" w:rsidP="00017556">
      <w:pPr>
        <w:pStyle w:val="big"/>
        <w:jc w:val="both"/>
        <w:rPr>
          <w:rFonts w:ascii="Arial" w:hAnsi="Arial" w:cs="Arial"/>
          <w:color w:val="595959" w:themeColor="text1" w:themeTint="A6"/>
        </w:rPr>
      </w:pPr>
    </w:p>
    <w:p w:rsidR="0067103B" w:rsidRPr="000C1124" w:rsidRDefault="0067103B" w:rsidP="0067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21DEF" w:rsidRPr="000C1124" w:rsidRDefault="0067103B" w:rsidP="0067103B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FD05F5" w:rsidRPr="000C1124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¹</w:t>
      </w:r>
      <w:r w:rsidRPr="000C1124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Nota informativa:</w:t>
      </w:r>
      <w:r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</w:t>
      </w:r>
      <w:r w:rsidR="00DD76C3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GTIN (AI 01) e a URL DO PRODUTO</w:t>
      </w:r>
      <w:r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(AI 8200) são codificados como elementos de dados separados no carregador de dados, mas uma vez que eles são processados</w:t>
      </w:r>
      <w:r w:rsidR="00DD76C3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modo padrão por meio da concatenação das três </w:t>
      </w:r>
      <w:proofErr w:type="spellStart"/>
      <w:r w:rsidR="00DD76C3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strings</w:t>
      </w:r>
      <w:proofErr w:type="spellEnd"/>
      <w:r w:rsidR="00DD76C3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seguir: os conteúdos do AI (8200), seguidos por um caractere de barra (/) e pelo GTIN expresso em 14 dígitos numéricos. </w:t>
      </w:r>
    </w:p>
    <w:p w:rsidR="00F47151" w:rsidRDefault="00F47151" w:rsidP="0067103B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0C1124" w:rsidRDefault="000C1124" w:rsidP="00C87736">
      <w:pPr>
        <w:pStyle w:val="Default"/>
        <w:rPr>
          <w:rFonts w:ascii="Arial" w:hAnsi="Arial" w:cs="Arial"/>
          <w:bCs/>
          <w:color w:val="595959" w:themeColor="text1" w:themeTint="A6"/>
        </w:rPr>
      </w:pPr>
    </w:p>
    <w:p w:rsidR="000C1124" w:rsidRDefault="000C1124" w:rsidP="00C87736">
      <w:pPr>
        <w:pStyle w:val="Default"/>
        <w:rPr>
          <w:rFonts w:ascii="Arial" w:hAnsi="Arial" w:cs="Arial"/>
          <w:bCs/>
          <w:color w:val="595959" w:themeColor="text1" w:themeTint="A6"/>
        </w:rPr>
      </w:pPr>
    </w:p>
    <w:p w:rsidR="000C1124" w:rsidRDefault="000C1124" w:rsidP="00C87736">
      <w:pPr>
        <w:pStyle w:val="Default"/>
        <w:rPr>
          <w:rFonts w:ascii="Arial" w:hAnsi="Arial" w:cs="Arial"/>
          <w:bCs/>
          <w:color w:val="595959" w:themeColor="text1" w:themeTint="A6"/>
        </w:rPr>
      </w:pPr>
    </w:p>
    <w:p w:rsidR="000C1124" w:rsidRDefault="000C1124" w:rsidP="00C87736">
      <w:pPr>
        <w:pStyle w:val="Default"/>
        <w:rPr>
          <w:rFonts w:ascii="Arial" w:hAnsi="Arial" w:cs="Arial"/>
          <w:bCs/>
          <w:color w:val="595959" w:themeColor="text1" w:themeTint="A6"/>
        </w:rPr>
      </w:pPr>
    </w:p>
    <w:p w:rsidR="000C1124" w:rsidRDefault="000C1124" w:rsidP="00C87736">
      <w:pPr>
        <w:pStyle w:val="Default"/>
        <w:rPr>
          <w:rFonts w:ascii="Arial" w:hAnsi="Arial" w:cs="Arial"/>
          <w:bCs/>
          <w:color w:val="595959" w:themeColor="text1" w:themeTint="A6"/>
        </w:rPr>
      </w:pPr>
    </w:p>
    <w:p w:rsidR="00C87736" w:rsidRPr="000C1124" w:rsidRDefault="00F47151" w:rsidP="00C87736">
      <w:pPr>
        <w:pStyle w:val="Default"/>
        <w:rPr>
          <w:rFonts w:ascii="Times New Roman" w:hAnsi="Times New Roman" w:cs="Times New Roman"/>
          <w:color w:val="595959" w:themeColor="text1" w:themeTint="A6"/>
        </w:rPr>
      </w:pPr>
      <w:r w:rsidRPr="000C1124">
        <w:rPr>
          <w:rFonts w:ascii="Arial" w:hAnsi="Arial" w:cs="Arial"/>
          <w:bCs/>
          <w:color w:val="595959" w:themeColor="text1" w:themeTint="A6"/>
        </w:rPr>
        <w:lastRenderedPageBreak/>
        <w:t xml:space="preserve">Por exemplo, </w:t>
      </w:r>
      <w:proofErr w:type="gramStart"/>
      <w:r w:rsidRPr="000C1124">
        <w:rPr>
          <w:rFonts w:ascii="Arial" w:hAnsi="Arial" w:cs="Arial"/>
          <w:bCs/>
          <w:color w:val="595959" w:themeColor="text1" w:themeTint="A6"/>
        </w:rPr>
        <w:t xml:space="preserve">quando </w:t>
      </w:r>
      <w:r w:rsidR="00573B26" w:rsidRPr="000C1124">
        <w:rPr>
          <w:rFonts w:ascii="Arial" w:hAnsi="Arial" w:cs="Arial"/>
          <w:bCs/>
          <w:color w:val="595959" w:themeColor="text1" w:themeTint="A6"/>
        </w:rPr>
        <w:t xml:space="preserve"> o</w:t>
      </w:r>
      <w:proofErr w:type="gramEnd"/>
      <w:r w:rsidR="00573B26" w:rsidRPr="000C1124">
        <w:rPr>
          <w:rFonts w:ascii="Arial" w:hAnsi="Arial" w:cs="Arial"/>
          <w:bCs/>
          <w:color w:val="595959" w:themeColor="text1" w:themeTint="A6"/>
        </w:rPr>
        <w:t xml:space="preserve"> GTIN do item comercial</w:t>
      </w:r>
      <w:r w:rsidRPr="000C1124">
        <w:rPr>
          <w:rFonts w:ascii="Arial" w:hAnsi="Arial" w:cs="Arial"/>
          <w:bCs/>
          <w:color w:val="595959" w:themeColor="text1" w:themeTint="A6"/>
        </w:rPr>
        <w:t xml:space="preserve"> for  expresso em 14 dígitos, temos</w:t>
      </w:r>
      <w:r w:rsidR="00573B26" w:rsidRPr="000C1124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="00573B26" w:rsidRPr="000C1124">
        <w:rPr>
          <w:rFonts w:ascii="Arial" w:hAnsi="Arial" w:cs="Arial"/>
          <w:color w:val="595959" w:themeColor="text1" w:themeTint="A6"/>
        </w:rPr>
        <w:t>01234567890128</w:t>
      </w:r>
      <w:r w:rsidR="00C87736" w:rsidRPr="000C1124">
        <w:rPr>
          <w:rFonts w:ascii="Arial" w:hAnsi="Arial" w:cs="Arial"/>
          <w:color w:val="595959" w:themeColor="text1" w:themeTint="A6"/>
        </w:rPr>
        <w:t xml:space="preserve"> e a URL para modo direto a fim de acessar as informações é </w:t>
      </w:r>
    </w:p>
    <w:p w:rsidR="00C87736" w:rsidRPr="000C1124" w:rsidRDefault="00C87736" w:rsidP="00C8773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hyperlink r:id="rId7" w:history="1">
        <w:r w:rsidRPr="000C1124">
          <w:rPr>
            <w:rStyle w:val="Hyperlink"/>
            <w:rFonts w:ascii="Arial" w:hAnsi="Arial" w:cs="Arial"/>
            <w:color w:val="595959" w:themeColor="text1" w:themeTint="A6"/>
            <w:sz w:val="24"/>
            <w:szCs w:val="24"/>
          </w:rPr>
          <w:t>http://example.com/01234567890128</w:t>
        </w:r>
      </w:hyperlink>
    </w:p>
    <w:p w:rsidR="00C87736" w:rsidRPr="000C1124" w:rsidRDefault="00C87736" w:rsidP="00C877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Quando codificado no símbolo, a sequência para codificação é:</w:t>
      </w:r>
    </w:p>
    <w:p w:rsidR="00C87736" w:rsidRPr="000C1124" w:rsidRDefault="00C87736" w:rsidP="00C877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87736" w:rsidRPr="000C1124" w:rsidRDefault="00C87736" w:rsidP="00C8773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01234567890128 (8200) </w:t>
      </w:r>
      <w:hyperlink r:id="rId8" w:history="1">
        <w:r w:rsidRPr="000C1124">
          <w:rPr>
            <w:rStyle w:val="Hyperlink"/>
            <w:rFonts w:ascii="Arial" w:hAnsi="Arial" w:cs="Arial"/>
            <w:color w:val="595959" w:themeColor="text1" w:themeTint="A6"/>
            <w:sz w:val="24"/>
            <w:szCs w:val="24"/>
          </w:rPr>
          <w:t>http://example.com</w:t>
        </w:r>
      </w:hyperlink>
    </w:p>
    <w:p w:rsidR="00C87736" w:rsidRPr="000C1124" w:rsidRDefault="00C87736" w:rsidP="00C87736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87736" w:rsidRPr="000C1124" w:rsidRDefault="00C87736" w:rsidP="00C8773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Quando processado, a URL, a barra e o GTIN são associados para chegarem a:</w:t>
      </w:r>
    </w:p>
    <w:p w:rsidR="00C87736" w:rsidRPr="000C1124" w:rsidRDefault="00C87736" w:rsidP="00C87736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87736" w:rsidRPr="000C1124" w:rsidRDefault="00C87736" w:rsidP="00C87736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hyperlink r:id="rId9" w:history="1">
        <w:r w:rsidRPr="000C1124">
          <w:rPr>
            <w:rStyle w:val="Hyperlink"/>
            <w:rFonts w:ascii="Arial" w:hAnsi="Arial" w:cs="Arial"/>
            <w:color w:val="595959" w:themeColor="text1" w:themeTint="A6"/>
            <w:sz w:val="24"/>
            <w:szCs w:val="24"/>
          </w:rPr>
          <w:t>http://example.com/01234567890128</w:t>
        </w:r>
      </w:hyperlink>
    </w:p>
    <w:p w:rsidR="00C87736" w:rsidRPr="000C1124" w:rsidRDefault="00C87736" w:rsidP="00C87736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34C6A" w:rsidRPr="000C1124" w:rsidRDefault="00034C6A" w:rsidP="00FB76C7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O exemplo fornecido não se destina a restringir o dono da marca a utilizar o esquema </w:t>
      </w:r>
      <w:proofErr w:type="spellStart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http</w:t>
      </w:r>
      <w:proofErr w:type="spellEnd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URL, o domínio de nível </w:t>
      </w:r>
      <w:proofErr w:type="gramStart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elevado .com</w:t>
      </w:r>
      <w:proofErr w:type="gramEnd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ou a estrutura específica da URL ilustrada. Qualquer URL pode ser utilizada</w:t>
      </w:r>
      <w:r w:rsidR="00FD05F5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e no processamento</w:t>
      </w:r>
      <w:r w:rsidR="00FD05F5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o caractere de barra</w:t>
      </w:r>
      <w:r w:rsidR="00FB76C7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e o GTIN de 14 dígitos são acrescentados. </w:t>
      </w:r>
    </w:p>
    <w:p w:rsidR="00FD05F5" w:rsidRPr="000C1124" w:rsidRDefault="00FD05F5" w:rsidP="00FB76C7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²Nota do Carregador de dados: Determine os códigos de barras que </w:t>
      </w:r>
      <w:proofErr w:type="gramStart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podem  ser</w:t>
      </w:r>
      <w:proofErr w:type="gramEnd"/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utilizados em uma aplicação específica e as especificações de tamanho e de qualidade para cada um, siga as etapas abaixo:</w:t>
      </w:r>
    </w:p>
    <w:p w:rsidR="00FD05F5" w:rsidRPr="000C1124" w:rsidRDefault="00FD05F5" w:rsidP="00FD05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Consulte as Especificações Gerais, figura 2.1.8 -1 para localizar o padrão de aplicação de interesse;</w:t>
      </w:r>
    </w:p>
    <w:p w:rsidR="00FD05F5" w:rsidRPr="000C1124" w:rsidRDefault="00FD05F5" w:rsidP="00FD05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Vá até a seção sobre Especificações do Carregador de Dados do padrão de aplicação;</w:t>
      </w:r>
    </w:p>
    <w:p w:rsidR="00EF5280" w:rsidRPr="000C1124" w:rsidRDefault="00EF5280" w:rsidP="00EF528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Vá até a tabela de Especificações do Símbolo</w:t>
      </w:r>
    </w:p>
    <w:p w:rsidR="00EF5280" w:rsidRPr="000C1124" w:rsidRDefault="00EF5280" w:rsidP="00EF5280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Resumo sobre as Novas Regras de Aplicação</w:t>
      </w:r>
    </w:p>
    <w:p w:rsidR="00EF5280" w:rsidRPr="000C1124" w:rsidRDefault="00053B63" w:rsidP="00EF528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Nas Especificações Gerais GS1 Alterar a Seção de Notificação 4.11.2:</w:t>
      </w:r>
    </w:p>
    <w:p w:rsidR="00E906B4" w:rsidRPr="000C1124" w:rsidRDefault="00053B63" w:rsidP="00E906B4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  <w:r w:rsidRPr="000C1124">
        <w:rPr>
          <w:rFonts w:ascii="Arial" w:hAnsi="Arial" w:cs="Arial"/>
          <w:color w:val="595959" w:themeColor="text1" w:themeTint="A6"/>
        </w:rPr>
        <w:t>Esta seção define</w:t>
      </w:r>
      <w:r w:rsidR="00E906B4" w:rsidRPr="000C1124">
        <w:rPr>
          <w:rFonts w:ascii="Arial" w:hAnsi="Arial" w:cs="Arial"/>
          <w:color w:val="595959" w:themeColor="text1" w:themeTint="A6"/>
        </w:rPr>
        <w:t xml:space="preserve"> a Cadeia de Elementos que a ordem de apresentação </w:t>
      </w:r>
      <w:r w:rsidR="00E906B4" w:rsidRPr="000C1124">
        <w:rPr>
          <w:rFonts w:ascii="Arial" w:hAnsi="Arial" w:cs="Arial"/>
          <w:bCs/>
          <w:color w:val="595959" w:themeColor="text1" w:themeTint="A6"/>
        </w:rPr>
        <w:t>de outra cadeia de elementos sobre a mesma entidade física.</w:t>
      </w:r>
    </w:p>
    <w:p w:rsidR="00F47151" w:rsidRPr="000C1124" w:rsidRDefault="00F47151" w:rsidP="00E906B4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</w:p>
    <w:p w:rsidR="00F47151" w:rsidRPr="000C1124" w:rsidRDefault="00F47151" w:rsidP="00E906B4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  <w:bookmarkStart w:id="0" w:name="_GoBack"/>
      <w:bookmarkEnd w:id="0"/>
    </w:p>
    <w:p w:rsidR="00E906B4" w:rsidRPr="000C1124" w:rsidRDefault="00E906B4" w:rsidP="00E906B4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</w:p>
    <w:tbl>
      <w:tblPr>
        <w:tblStyle w:val="Tabelacomgrade"/>
        <w:tblW w:w="0" w:type="auto"/>
        <w:tblInd w:w="225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0C1124" w:rsidRPr="000C1124" w:rsidTr="00965AF0">
        <w:tc>
          <w:tcPr>
            <w:tcW w:w="4247" w:type="dxa"/>
            <w:gridSpan w:val="2"/>
          </w:tcPr>
          <w:p w:rsidR="00965AF0" w:rsidRPr="000C1124" w:rsidRDefault="00965AF0" w:rsidP="00E906B4">
            <w:pPr>
              <w:pStyle w:val="big"/>
              <w:ind w:left="0"/>
              <w:jc w:val="both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bCs/>
                <w:color w:val="595959" w:themeColor="text1" w:themeTint="A6"/>
              </w:rPr>
              <w:t>Se a Cadeia de Elementos</w:t>
            </w:r>
          </w:p>
        </w:tc>
        <w:tc>
          <w:tcPr>
            <w:tcW w:w="2124" w:type="dxa"/>
          </w:tcPr>
          <w:p w:rsidR="00965AF0" w:rsidRPr="000C1124" w:rsidRDefault="008A032D" w:rsidP="00E906B4">
            <w:pPr>
              <w:pStyle w:val="big"/>
              <w:ind w:left="0"/>
              <w:jc w:val="both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bCs/>
                <w:color w:val="595959" w:themeColor="text1" w:themeTint="A6"/>
              </w:rPr>
              <w:t>Elemento obrigatório associado</w:t>
            </w:r>
          </w:p>
        </w:tc>
        <w:tc>
          <w:tcPr>
            <w:tcW w:w="2124" w:type="dxa"/>
          </w:tcPr>
          <w:p w:rsidR="00965AF0" w:rsidRPr="000C1124" w:rsidRDefault="00965AF0" w:rsidP="00E906B4">
            <w:pPr>
              <w:pStyle w:val="big"/>
              <w:ind w:left="0"/>
              <w:jc w:val="both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/>
                <w:bCs/>
                <w:color w:val="595959" w:themeColor="text1" w:themeTint="A6"/>
              </w:rPr>
              <w:t>Comentário</w:t>
            </w:r>
          </w:p>
        </w:tc>
      </w:tr>
      <w:tr w:rsidR="00965AF0" w:rsidRPr="000C1124" w:rsidTr="00965AF0">
        <w:tc>
          <w:tcPr>
            <w:tcW w:w="2123" w:type="dxa"/>
          </w:tcPr>
          <w:p w:rsidR="00965AF0" w:rsidRPr="000C1124" w:rsidRDefault="00965AF0" w:rsidP="00E906B4">
            <w:pPr>
              <w:pStyle w:val="big"/>
              <w:ind w:left="0"/>
              <w:jc w:val="both"/>
              <w:rPr>
                <w:rFonts w:ascii="Arial" w:hAnsi="Arial" w:cs="Arial"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Cs/>
                <w:color w:val="595959" w:themeColor="text1" w:themeTint="A6"/>
              </w:rPr>
              <w:t>8200</w:t>
            </w:r>
          </w:p>
        </w:tc>
        <w:tc>
          <w:tcPr>
            <w:tcW w:w="2124" w:type="dxa"/>
          </w:tcPr>
          <w:p w:rsidR="00965AF0" w:rsidRPr="000C1124" w:rsidRDefault="00965AF0" w:rsidP="00E906B4">
            <w:pPr>
              <w:pStyle w:val="big"/>
              <w:ind w:left="0"/>
              <w:jc w:val="both"/>
              <w:rPr>
                <w:rFonts w:ascii="Arial" w:hAnsi="Arial" w:cs="Arial"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Cs/>
                <w:color w:val="595959" w:themeColor="text1" w:themeTint="A6"/>
              </w:rPr>
              <w:t>URL da embalagem estendida</w:t>
            </w:r>
          </w:p>
        </w:tc>
        <w:tc>
          <w:tcPr>
            <w:tcW w:w="2124" w:type="dxa"/>
          </w:tcPr>
          <w:p w:rsidR="00965AF0" w:rsidRPr="000C1124" w:rsidRDefault="008A032D" w:rsidP="00E906B4">
            <w:pPr>
              <w:pStyle w:val="big"/>
              <w:ind w:left="0"/>
              <w:jc w:val="both"/>
              <w:rPr>
                <w:rFonts w:ascii="Arial" w:hAnsi="Arial" w:cs="Arial"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Cs/>
                <w:color w:val="595959" w:themeColor="text1" w:themeTint="A6"/>
              </w:rPr>
              <w:t>01</w:t>
            </w:r>
          </w:p>
        </w:tc>
        <w:tc>
          <w:tcPr>
            <w:tcW w:w="2124" w:type="dxa"/>
          </w:tcPr>
          <w:p w:rsidR="00965AF0" w:rsidRPr="000C1124" w:rsidRDefault="008A032D" w:rsidP="00E906B4">
            <w:pPr>
              <w:pStyle w:val="big"/>
              <w:ind w:left="0"/>
              <w:jc w:val="both"/>
              <w:rPr>
                <w:rFonts w:ascii="Arial" w:hAnsi="Arial" w:cs="Arial"/>
                <w:bCs/>
                <w:color w:val="595959" w:themeColor="text1" w:themeTint="A6"/>
              </w:rPr>
            </w:pPr>
            <w:r w:rsidRPr="000C1124">
              <w:rPr>
                <w:rFonts w:ascii="Arial" w:hAnsi="Arial" w:cs="Arial"/>
                <w:bCs/>
                <w:color w:val="595959" w:themeColor="text1" w:themeTint="A6"/>
              </w:rPr>
              <w:t>Associação obrigatória com o GTIN</w:t>
            </w:r>
          </w:p>
        </w:tc>
      </w:tr>
    </w:tbl>
    <w:p w:rsidR="00965AF0" w:rsidRPr="000C1124" w:rsidRDefault="00965AF0" w:rsidP="00E906B4">
      <w:pPr>
        <w:pStyle w:val="big"/>
        <w:jc w:val="both"/>
        <w:rPr>
          <w:rFonts w:ascii="Arial" w:hAnsi="Arial" w:cs="Arial"/>
          <w:bCs/>
          <w:color w:val="595959" w:themeColor="text1" w:themeTint="A6"/>
        </w:rPr>
      </w:pPr>
    </w:p>
    <w:p w:rsidR="00E906B4" w:rsidRPr="000C1124" w:rsidRDefault="00E906B4" w:rsidP="00E906B4">
      <w:pPr>
        <w:pStyle w:val="big"/>
        <w:jc w:val="both"/>
        <w:rPr>
          <w:rFonts w:ascii="Arial" w:hAnsi="Arial" w:cs="Arial"/>
          <w:color w:val="595959" w:themeColor="text1" w:themeTint="A6"/>
        </w:rPr>
      </w:pPr>
    </w:p>
    <w:p w:rsidR="00053B63" w:rsidRPr="000C1124" w:rsidRDefault="006D21CF" w:rsidP="006D21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Nas Especificações Gerais GS1 Alterar a Seção de Notificação 4.12:</w:t>
      </w:r>
    </w:p>
    <w:p w:rsidR="006D21CF" w:rsidRPr="000C1124" w:rsidRDefault="006D21CF" w:rsidP="006D21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D21CF" w:rsidRPr="000C1124" w:rsidRDefault="006D21CF" w:rsidP="00E211D6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Quando o AI (8200) aparecer na etiqueta, a expressão da URL não deve aparecer na HRI. Caso ela apareça em um texto não humano-legível, ela deve ser expressa</w:t>
      </w:r>
      <w:r w:rsidR="00E07552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em </w:t>
      </w:r>
      <w:hyperlink r:id="rId10" w:history="1">
        <w:r w:rsidR="00E07552" w:rsidRPr="000C1124">
          <w:rPr>
            <w:rStyle w:val="Hyperlink"/>
            <w:rFonts w:ascii="Arial" w:hAnsi="Arial" w:cs="Arial"/>
            <w:color w:val="595959" w:themeColor="text1" w:themeTint="A6"/>
            <w:sz w:val="24"/>
            <w:szCs w:val="24"/>
          </w:rPr>
          <w:t>http://example.com/GTIN</w:t>
        </w:r>
      </w:hyperlink>
      <w:r w:rsidR="00E07552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 (em que o GTIN é expresso em 14 dígitos). </w:t>
      </w:r>
    </w:p>
    <w:p w:rsidR="000452AF" w:rsidRPr="000C1124" w:rsidRDefault="00CD30B6" w:rsidP="000452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Nas Especificações Gerais GS1 Alterar a Figura de Notificação 5.5.2.7 -2.1:</w:t>
      </w:r>
    </w:p>
    <w:p w:rsidR="000452AF" w:rsidRPr="000C1124" w:rsidRDefault="00CD30B6" w:rsidP="000452AF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Além do símbolo utilizado n</w:t>
      </w:r>
      <w:r w:rsidR="00085BB8"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o ponto de venda do varejo, um </w:t>
      </w: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 xml:space="preserve">símbolo 2D adicional pode ser utilizado para carregar o AI (8200).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Como AI (8200) tem uma associação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obrigatória com GTIN, o GTIN dentro símbolo garante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compatibilidade com o modo direto ou indireto.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O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GS1 </w:t>
      </w:r>
      <w:proofErr w:type="spellStart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DataMatrix</w:t>
      </w:r>
      <w:proofErr w:type="spellEnd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é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compatível com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todas as aplicações, incluindo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materiais médicos/produtos da saúde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regulamentados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e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abrangidos pelo </w:t>
      </w:r>
      <w:proofErr w:type="spellStart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SSTs</w:t>
      </w:r>
      <w:proofErr w:type="spellEnd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6, 7, 8 e 10, mas para os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demais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itens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comerciais do varejo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seja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o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GS1 QR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proofErr w:type="gramStart"/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Code</w:t>
      </w:r>
      <w:proofErr w:type="spellEnd"/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ou</w:t>
      </w:r>
      <w:proofErr w:type="gramEnd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GS1 </w:t>
      </w:r>
      <w:proofErr w:type="spellStart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DataMatrix</w:t>
      </w:r>
      <w:proofErr w:type="spellEnd"/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GS1 são </w:t>
      </w:r>
      <w:r w:rsidR="00085BB8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opções </w:t>
      </w:r>
      <w:r w:rsidR="000452AF" w:rsidRPr="000C1124">
        <w:rPr>
          <w:rFonts w:ascii="Arial" w:hAnsi="Arial" w:cs="Arial"/>
          <w:bCs/>
          <w:color w:val="595959" w:themeColor="text1" w:themeTint="A6"/>
          <w:sz w:val="24"/>
          <w:szCs w:val="24"/>
        </w:rPr>
        <w:t>GS1 aprovadas.</w:t>
      </w:r>
    </w:p>
    <w:p w:rsidR="00136C32" w:rsidRPr="000C1124" w:rsidRDefault="00136C32" w:rsidP="00136C32">
      <w:pPr>
        <w:pStyle w:val="big"/>
        <w:ind w:left="0"/>
        <w:jc w:val="both"/>
        <w:rPr>
          <w:rFonts w:ascii="Arial" w:hAnsi="Arial" w:cs="Arial"/>
          <w:color w:val="595959" w:themeColor="text1" w:themeTint="A6"/>
        </w:rPr>
      </w:pPr>
      <w:r w:rsidRPr="000C1124">
        <w:rPr>
          <w:rFonts w:ascii="Arial" w:hAnsi="Arial" w:cs="Arial"/>
          <w:bCs/>
          <w:color w:val="595959" w:themeColor="text1" w:themeTint="A6"/>
        </w:rPr>
        <w:t>Abaixo da figura, aparece a seguinte nota de rodapé: "Sempre que um símbolo linear aparece na representação da imagem inversa e simétrica da embalagem, os símbolos bidimensionais GS1 não serão permitidos.”</w:t>
      </w:r>
    </w:p>
    <w:p w:rsidR="00F12C4E" w:rsidRPr="000C1124" w:rsidRDefault="00F12C4E" w:rsidP="000452AF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D30B6" w:rsidRPr="000C1124" w:rsidRDefault="00E10BCF" w:rsidP="00E10BC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Nas Especificações Gerais GS1 Alterar a Seção de Notificação 5.9.1:</w:t>
      </w:r>
    </w:p>
    <w:p w:rsidR="00E10BCF" w:rsidRPr="000C1124" w:rsidRDefault="00E10BCF" w:rsidP="00E10B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10BCF" w:rsidRPr="000C1124" w:rsidRDefault="00E10BCF" w:rsidP="00656EF8">
      <w:pPr>
        <w:pStyle w:val="big"/>
        <w:ind w:left="0"/>
        <w:jc w:val="both"/>
        <w:rPr>
          <w:rFonts w:ascii="Arial" w:hAnsi="Arial" w:cs="Arial"/>
          <w:color w:val="595959" w:themeColor="text1" w:themeTint="A6"/>
        </w:rPr>
      </w:pPr>
      <w:r w:rsidRPr="000C1124">
        <w:rPr>
          <w:rFonts w:ascii="Arial" w:hAnsi="Arial" w:cs="Arial"/>
          <w:bCs/>
          <w:color w:val="595959" w:themeColor="text1" w:themeTint="A6"/>
        </w:rPr>
        <w:t xml:space="preserve">O QR </w:t>
      </w:r>
      <w:proofErr w:type="spellStart"/>
      <w:r w:rsidRPr="000C1124">
        <w:rPr>
          <w:rFonts w:ascii="Arial" w:hAnsi="Arial" w:cs="Arial"/>
          <w:bCs/>
          <w:color w:val="595959" w:themeColor="text1" w:themeTint="A6"/>
        </w:rPr>
        <w:t>Code</w:t>
      </w:r>
      <w:proofErr w:type="spellEnd"/>
      <w:r w:rsidRPr="000C1124">
        <w:rPr>
          <w:rFonts w:ascii="Arial" w:hAnsi="Arial" w:cs="Arial"/>
          <w:bCs/>
          <w:color w:val="595959" w:themeColor="text1" w:themeTint="A6"/>
        </w:rPr>
        <w:t xml:space="preserve"> 2005 é o único membro da família de QR </w:t>
      </w:r>
      <w:proofErr w:type="spellStart"/>
      <w:r w:rsidRPr="000C1124">
        <w:rPr>
          <w:rFonts w:ascii="Arial" w:hAnsi="Arial" w:cs="Arial"/>
          <w:bCs/>
          <w:color w:val="595959" w:themeColor="text1" w:themeTint="A6"/>
        </w:rPr>
        <w:t>Code</w:t>
      </w:r>
      <w:proofErr w:type="spellEnd"/>
      <w:r w:rsidRPr="000C1124">
        <w:rPr>
          <w:rFonts w:ascii="Arial" w:hAnsi="Arial" w:cs="Arial"/>
          <w:bCs/>
          <w:color w:val="595959" w:themeColor="text1" w:themeTint="A6"/>
        </w:rPr>
        <w:t xml:space="preserve"> que suporta a estrutura de dados do Sistema GS1, incluindo </w:t>
      </w:r>
      <w:r w:rsidR="00590454" w:rsidRPr="000C1124">
        <w:rPr>
          <w:rFonts w:ascii="Arial" w:hAnsi="Arial" w:cs="Arial"/>
          <w:bCs/>
          <w:color w:val="595959" w:themeColor="text1" w:themeTint="A6"/>
        </w:rPr>
        <w:t>Caracteres</w:t>
      </w:r>
      <w:r w:rsidRPr="000C1124">
        <w:rPr>
          <w:rFonts w:ascii="Arial" w:hAnsi="Arial" w:cs="Arial"/>
          <w:bCs/>
          <w:color w:val="595959" w:themeColor="text1" w:themeTint="A6"/>
        </w:rPr>
        <w:t xml:space="preserve"> </w:t>
      </w:r>
      <w:r w:rsidR="0017274E" w:rsidRPr="000C1124">
        <w:rPr>
          <w:rFonts w:ascii="Arial" w:hAnsi="Arial" w:cs="Arial"/>
          <w:bCs/>
          <w:color w:val="595959" w:themeColor="text1" w:themeTint="A6"/>
        </w:rPr>
        <w:t xml:space="preserve">do </w:t>
      </w:r>
      <w:r w:rsidRPr="000C1124">
        <w:rPr>
          <w:rFonts w:ascii="Arial" w:hAnsi="Arial" w:cs="Arial"/>
          <w:bCs/>
          <w:color w:val="595959" w:themeColor="text1" w:themeTint="A6"/>
        </w:rPr>
        <w:t>Símbolo</w:t>
      </w:r>
      <w:r w:rsidR="00590454" w:rsidRPr="000C1124">
        <w:rPr>
          <w:rFonts w:ascii="Arial" w:hAnsi="Arial" w:cs="Arial"/>
          <w:bCs/>
          <w:color w:val="595959" w:themeColor="text1" w:themeTint="A6"/>
        </w:rPr>
        <w:t xml:space="preserve"> de Função</w:t>
      </w:r>
      <w:r w:rsidRPr="000C1124">
        <w:rPr>
          <w:rFonts w:ascii="Arial" w:hAnsi="Arial" w:cs="Arial"/>
          <w:bCs/>
          <w:color w:val="595959" w:themeColor="text1" w:themeTint="A6"/>
        </w:rPr>
        <w:t xml:space="preserve"> 1. A norma ISO / IEC referente ao QR </w:t>
      </w:r>
      <w:proofErr w:type="spellStart"/>
      <w:r w:rsidRPr="000C1124">
        <w:rPr>
          <w:rFonts w:ascii="Arial" w:hAnsi="Arial" w:cs="Arial"/>
          <w:bCs/>
          <w:color w:val="595959" w:themeColor="text1" w:themeTint="A6"/>
        </w:rPr>
        <w:t>Code</w:t>
      </w:r>
      <w:proofErr w:type="spellEnd"/>
      <w:r w:rsidRPr="000C1124">
        <w:rPr>
          <w:rFonts w:ascii="Arial" w:hAnsi="Arial" w:cs="Arial"/>
          <w:bCs/>
          <w:color w:val="595959" w:themeColor="text1" w:themeTint="A6"/>
        </w:rPr>
        <w:t xml:space="preserve"> 2005 também contém especificações para o QR </w:t>
      </w:r>
      <w:proofErr w:type="spellStart"/>
      <w:r w:rsidRPr="000C1124">
        <w:rPr>
          <w:rFonts w:ascii="Arial" w:hAnsi="Arial" w:cs="Arial"/>
          <w:bCs/>
          <w:color w:val="595959" w:themeColor="text1" w:themeTint="A6"/>
        </w:rPr>
        <w:t>Code</w:t>
      </w:r>
      <w:proofErr w:type="spellEnd"/>
      <w:r w:rsidR="009B3D74" w:rsidRPr="000C1124">
        <w:rPr>
          <w:rFonts w:ascii="Arial" w:hAnsi="Arial" w:cs="Arial"/>
          <w:bCs/>
          <w:color w:val="595959" w:themeColor="text1" w:themeTint="A6"/>
        </w:rPr>
        <w:t xml:space="preserve"> Micro, mas ess</w:t>
      </w:r>
      <w:r w:rsidRPr="000C1124">
        <w:rPr>
          <w:rFonts w:ascii="Arial" w:hAnsi="Arial" w:cs="Arial"/>
          <w:bCs/>
          <w:color w:val="595959" w:themeColor="text1" w:themeTint="A6"/>
        </w:rPr>
        <w:t>a simbologia não é compatível com o Sistema GS1.</w:t>
      </w:r>
    </w:p>
    <w:p w:rsidR="00E10BCF" w:rsidRPr="000C1124" w:rsidRDefault="00E10BCF" w:rsidP="00E10B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47151" w:rsidRPr="000C1124" w:rsidRDefault="00F47151" w:rsidP="00E10B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47151" w:rsidRPr="000C1124" w:rsidRDefault="00F47151" w:rsidP="00E10B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47151" w:rsidRPr="000C1124" w:rsidRDefault="00F47151" w:rsidP="00E10BCF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E07552" w:rsidRPr="000C1124" w:rsidRDefault="00656EF8" w:rsidP="00656E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C1124">
        <w:rPr>
          <w:rFonts w:ascii="Arial" w:hAnsi="Arial" w:cs="Arial"/>
          <w:color w:val="595959" w:themeColor="text1" w:themeTint="A6"/>
          <w:sz w:val="24"/>
          <w:szCs w:val="24"/>
        </w:rPr>
        <w:t>Nas Especificações Gerais GS1 Alterar a Seção de Notificação 7.12:</w:t>
      </w:r>
    </w:p>
    <w:p w:rsidR="00656EF8" w:rsidRPr="000C1124" w:rsidRDefault="00656EF8" w:rsidP="00656EF8">
      <w:pPr>
        <w:pStyle w:val="big"/>
        <w:ind w:left="0"/>
        <w:jc w:val="both"/>
        <w:rPr>
          <w:rFonts w:ascii="Arial" w:hAnsi="Arial" w:cs="Arial"/>
          <w:color w:val="595959" w:themeColor="text1" w:themeTint="A6"/>
        </w:rPr>
      </w:pPr>
      <w:r w:rsidRPr="000C1124">
        <w:rPr>
          <w:rFonts w:ascii="Arial" w:hAnsi="Arial" w:cs="Arial"/>
          <w:bCs/>
          <w:color w:val="595959" w:themeColor="text1" w:themeTint="A6"/>
        </w:rPr>
        <w:t>Para obter o conjunto de caracteres codificáveis permitidos, consulte a Tabela 7.12: A Norma Internacional ISO / IEC 646</w:t>
      </w:r>
    </w:p>
    <w:p w:rsidR="00656EF8" w:rsidRPr="000C1124" w:rsidRDefault="00656EF8" w:rsidP="00656EF8">
      <w:pPr>
        <w:pStyle w:val="PargrafodaLista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656EF8" w:rsidRPr="000C112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B6" w:rsidRDefault="00CD30B6" w:rsidP="00812E7E">
      <w:pPr>
        <w:spacing w:after="0" w:line="240" w:lineRule="auto"/>
      </w:pPr>
      <w:r>
        <w:separator/>
      </w:r>
    </w:p>
  </w:endnote>
  <w:endnote w:type="continuationSeparator" w:id="0">
    <w:p w:rsidR="00CD30B6" w:rsidRDefault="00CD30B6" w:rsidP="008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B6" w:rsidRDefault="00CD30B6" w:rsidP="00812E7E">
      <w:pPr>
        <w:spacing w:after="0" w:line="240" w:lineRule="auto"/>
      </w:pPr>
      <w:r>
        <w:separator/>
      </w:r>
    </w:p>
  </w:footnote>
  <w:footnote w:type="continuationSeparator" w:id="0">
    <w:p w:rsidR="00CD30B6" w:rsidRDefault="00CD30B6" w:rsidP="0081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24" w:rsidRDefault="000C1124">
    <w:pPr>
      <w:pStyle w:val="Cabealho"/>
    </w:pPr>
    <w:r>
      <w:rPr>
        <w:noProof/>
        <w:lang w:eastAsia="pt-BR"/>
      </w:rPr>
      <w:drawing>
        <wp:inline distT="0" distB="0" distL="0" distR="0">
          <wp:extent cx="1857375" cy="61876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014-GS1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34" cy="62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124" w:rsidRDefault="000C1124">
    <w:pPr>
      <w:pStyle w:val="Cabealho"/>
    </w:pPr>
  </w:p>
  <w:p w:rsidR="000C1124" w:rsidRDefault="000C11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CCF"/>
    <w:multiLevelType w:val="hybridMultilevel"/>
    <w:tmpl w:val="DA68735E"/>
    <w:lvl w:ilvl="0" w:tplc="D22090A0">
      <w:start w:val="1"/>
      <w:numFmt w:val="decimalZero"/>
      <w:lvlText w:val="(%1)"/>
      <w:lvlJc w:val="left"/>
      <w:pPr>
        <w:ind w:left="121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0636A0"/>
    <w:multiLevelType w:val="hybridMultilevel"/>
    <w:tmpl w:val="7A06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020A8"/>
    <w:multiLevelType w:val="hybridMultilevel"/>
    <w:tmpl w:val="DE2CF838"/>
    <w:lvl w:ilvl="0" w:tplc="AAB69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EF"/>
    <w:rsid w:val="00017556"/>
    <w:rsid w:val="00034C6A"/>
    <w:rsid w:val="000452AF"/>
    <w:rsid w:val="00053B63"/>
    <w:rsid w:val="00085BB8"/>
    <w:rsid w:val="000C1124"/>
    <w:rsid w:val="00136C32"/>
    <w:rsid w:val="0017274E"/>
    <w:rsid w:val="00573B26"/>
    <w:rsid w:val="00590454"/>
    <w:rsid w:val="00656EF8"/>
    <w:rsid w:val="0067103B"/>
    <w:rsid w:val="006D21CF"/>
    <w:rsid w:val="006F6E08"/>
    <w:rsid w:val="00736291"/>
    <w:rsid w:val="00812E7E"/>
    <w:rsid w:val="00815991"/>
    <w:rsid w:val="00853BD4"/>
    <w:rsid w:val="008A032D"/>
    <w:rsid w:val="00965AF0"/>
    <w:rsid w:val="009B3D74"/>
    <w:rsid w:val="009E5F5C"/>
    <w:rsid w:val="009E73FF"/>
    <w:rsid w:val="00A21DEF"/>
    <w:rsid w:val="00AA52C6"/>
    <w:rsid w:val="00AE3BA5"/>
    <w:rsid w:val="00C87736"/>
    <w:rsid w:val="00CD30B6"/>
    <w:rsid w:val="00DD76C3"/>
    <w:rsid w:val="00E07552"/>
    <w:rsid w:val="00E10BCF"/>
    <w:rsid w:val="00E211D6"/>
    <w:rsid w:val="00E906B4"/>
    <w:rsid w:val="00EC0AD2"/>
    <w:rsid w:val="00EF5280"/>
    <w:rsid w:val="00F12C4E"/>
    <w:rsid w:val="00F47151"/>
    <w:rsid w:val="00F54935"/>
    <w:rsid w:val="00FB76C7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97827-E0C3-4E2E-AB0B-2E1C7C5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DEF"/>
    <w:rPr>
      <w:rFonts w:ascii="Tahoma" w:hAnsi="Tahoma" w:cs="Tahoma"/>
      <w:sz w:val="16"/>
      <w:szCs w:val="16"/>
    </w:rPr>
  </w:style>
  <w:style w:type="paragraph" w:customStyle="1" w:styleId="big">
    <w:name w:val="big"/>
    <w:basedOn w:val="Normal"/>
    <w:rsid w:val="0001755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1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77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77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E7E"/>
  </w:style>
  <w:style w:type="paragraph" w:styleId="Rodap">
    <w:name w:val="footer"/>
    <w:basedOn w:val="Normal"/>
    <w:link w:val="RodapChar"/>
    <w:uiPriority w:val="99"/>
    <w:unhideWhenUsed/>
    <w:rsid w:val="0081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p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ample.com/01234567890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example.com/G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ample.com/01234567890128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900643726584BB71850197F90E6DD" ma:contentTypeVersion="0" ma:contentTypeDescription="Crie um novo documento." ma:contentTypeScope="" ma:versionID="08b03504adf42936edd616263525c3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AC4D2-3451-4C1C-8610-E504810C5997}"/>
</file>

<file path=customXml/itemProps2.xml><?xml version="1.0" encoding="utf-8"?>
<ds:datastoreItem xmlns:ds="http://schemas.openxmlformats.org/officeDocument/2006/customXml" ds:itemID="{78D606FA-81EA-4B1E-B863-629124D32CB5}"/>
</file>

<file path=customXml/itemProps3.xml><?xml version="1.0" encoding="utf-8"?>
<ds:datastoreItem xmlns:ds="http://schemas.openxmlformats.org/officeDocument/2006/customXml" ds:itemID="{4C04406D-B088-4DCB-97F3-A2F3DC50A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Donegatti de Lima</dc:creator>
  <cp:lastModifiedBy>Sabrina Savioli</cp:lastModifiedBy>
  <cp:revision>53</cp:revision>
  <dcterms:created xsi:type="dcterms:W3CDTF">2012-06-15T13:32:00Z</dcterms:created>
  <dcterms:modified xsi:type="dcterms:W3CDTF">2014-08-12T18:05:00Z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0x010100FED900643726584BB71850197F90E6DD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